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6237" w:leader="none"/>
        </w:tabs>
        <w:spacing w:before="0" w:after="180"/>
        <w:rPr/>
      </w:pPr>
      <w:r>
        <w:rPr>
          <w:b/>
          <w:bCs/>
        </w:rPr>
        <w:t xml:space="preserve">5. 2. </w:t>
      </w:r>
      <w:r>
        <w:rPr>
          <w:b/>
          <w:bCs/>
          <w:lang w:val="hu-HU"/>
        </w:rPr>
        <w:t>Táblázat - Tantárgyleírás</w:t>
      </w:r>
      <w:r>
        <w:rPr>
          <w:bCs/>
        </w:rPr>
        <w:tab/>
      </w:r>
      <w:r>
        <w:rPr>
          <w:bCs/>
          <w:lang w:val="hu-HU"/>
        </w:rPr>
        <w:t>Tantárgy kódja</w:t>
      </w:r>
      <w:r>
        <w:rPr>
          <w:bCs/>
        </w:rPr>
        <w:t>: K-</w:t>
      </w:r>
      <w:r>
        <w:rPr/>
        <w:t>3-2-6-1</w:t>
      </w:r>
    </w:p>
    <w:tbl>
      <w:tblPr>
        <w:tblW w:w="907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bf"/>
      </w:tblPr>
      <w:tblGrid>
        <w:gridCol w:w="1251"/>
        <w:gridCol w:w="1642"/>
        <w:gridCol w:w="538"/>
        <w:gridCol w:w="1128"/>
        <w:gridCol w:w="852"/>
        <w:gridCol w:w="1829"/>
        <w:gridCol w:w="2"/>
        <w:gridCol w:w="700"/>
        <w:gridCol w:w="1130"/>
      </w:tblGrid>
      <w:tr>
        <w:trPr>
          <w:trHeight w:val="227" w:hRule="atLeast"/>
        </w:trPr>
        <w:tc>
          <w:tcPr>
            <w:tcW w:w="9072" w:type="dxa"/>
            <w:gridSpan w:val="9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>
                <w:b/>
                <w:sz w:val="22"/>
                <w:szCs w:val="22"/>
                <w:lang w:val="hu-HU"/>
              </w:rPr>
              <w:t>Oktatási program/oktatási programok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>
        <w:trPr>
          <w:trHeight w:val="227" w:hRule="atLeast"/>
        </w:trPr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Tanulmányok fajtája és szintje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egyetemi alapképzés – elsőfokú tanulmányok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  <w:lang w:val="hu-HU"/>
              </w:rPr>
              <w:t>Tantárgy elnevezése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</w:rPr>
              <w:t>KÖZÉLETI KOMMUNIKÁCIÓ TÖRTÉNETE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 xml:space="preserve">Tanár: Marcelina M. </w:t>
            </w:r>
            <w:r>
              <w:rPr>
                <w:b/>
                <w:sz w:val="22"/>
                <w:szCs w:val="22"/>
                <w:lang w:val="en-GB"/>
              </w:rPr>
              <w:t>Spangraft</w:t>
            </w:r>
            <w:r>
              <w:rPr>
                <w:b/>
                <w:sz w:val="22"/>
                <w:szCs w:val="22"/>
                <w:lang w:val="hu-HU"/>
              </w:rPr>
              <w:t>, Viktória I. Zakinszky Toma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Tantárgy státusza: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KÖTELEZŐ</w:t>
            </w:r>
            <w:r>
              <w:rPr>
                <w:b/>
                <w:sz w:val="22"/>
                <w:szCs w:val="22"/>
              </w:rPr>
              <w:t xml:space="preserve">, 6. </w:t>
            </w:r>
            <w:r>
              <w:rPr>
                <w:b/>
                <w:sz w:val="22"/>
                <w:szCs w:val="22"/>
                <w:lang w:val="hu-HU"/>
              </w:rPr>
              <w:t>szemeszter</w:t>
            </w:r>
            <w:r>
              <w:rPr>
                <w:b/>
                <w:sz w:val="22"/>
                <w:szCs w:val="22"/>
              </w:rPr>
              <w:t>, 1+1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ECTS pontszám</w:t>
            </w:r>
            <w:r>
              <w:rPr>
                <w:b/>
                <w:sz w:val="22"/>
                <w:szCs w:val="22"/>
              </w:rPr>
              <w:t>: 3 (</w:t>
            </w:r>
            <w:r>
              <w:rPr>
                <w:b/>
                <w:sz w:val="22"/>
                <w:szCs w:val="22"/>
                <w:lang w:val="hu-HU"/>
              </w:rPr>
              <w:t>három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>
        <w:trPr>
          <w:trHeight w:val="227" w:hRule="atLeast"/>
        </w:trPr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Feltétel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/>
            </w:pPr>
            <w:r>
              <w:rPr>
                <w:b/>
                <w:sz w:val="22"/>
                <w:szCs w:val="22"/>
                <w:lang w:val="hu-HU"/>
              </w:rPr>
              <w:t>Tantárgy célja</w:t>
            </w:r>
            <w:r>
              <w:rPr>
                <w:b/>
                <w:sz w:val="22"/>
                <w:szCs w:val="22"/>
              </w:rPr>
              <w:t>:</w:t>
            </w:r>
          </w:p>
          <w:p>
            <w:pPr>
              <w:pStyle w:val="Normal"/>
              <w:rPr/>
            </w:pPr>
            <w:r>
              <w:rPr>
                <w:lang w:val="hu-HU"/>
              </w:rPr>
              <w:t>A tantárgy célja, hogy a hallgatók megismerkedjenek a közéleti kommunikáció fajtáival és eszközeivel a történelem során a különböző társadalmi-politikai rendszerek kontextusában.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/>
            </w:pPr>
            <w:r>
              <w:rPr>
                <w:b/>
                <w:sz w:val="22"/>
                <w:szCs w:val="22"/>
                <w:lang w:val="hu-HU"/>
              </w:rPr>
              <w:t>Tantárgy eredménye</w:t>
            </w:r>
            <w:r>
              <w:rPr>
                <w:b/>
                <w:sz w:val="22"/>
                <w:szCs w:val="22"/>
              </w:rPr>
              <w:t>:</w:t>
            </w:r>
          </w:p>
          <w:p>
            <w:pPr>
              <w:pStyle w:val="Normal"/>
              <w:rPr/>
            </w:pPr>
            <w:r>
              <w:rPr>
                <w:lang w:val="hu-HU"/>
              </w:rPr>
              <w:t xml:space="preserve">A diákok megismerkednek a közéleti kommunikáció fajtáival, a kommunikáció nyilvánosságának témakörével, a közélet megjelenésével és fejlődésével, illetve a közéleti kommunikáció történelmi fejlődéséről is szereznek ismereteket. 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/>
            </w:pPr>
            <w:r>
              <w:rPr>
                <w:b/>
                <w:sz w:val="22"/>
                <w:szCs w:val="22"/>
                <w:lang w:val="hu-HU"/>
              </w:rPr>
              <w:t>Tantárgy tartalma</w:t>
            </w:r>
            <w:r>
              <w:rPr>
                <w:b/>
                <w:sz w:val="22"/>
                <w:szCs w:val="22"/>
              </w:rPr>
              <w:t>:</w:t>
            </w:r>
          </w:p>
          <w:p>
            <w:pPr>
              <w:pStyle w:val="Normal"/>
              <w:jc w:val="both"/>
              <w:rPr/>
            </w:pPr>
            <w:r>
              <w:rPr>
                <w:i/>
                <w:iCs/>
                <w:sz w:val="22"/>
                <w:szCs w:val="22"/>
                <w:lang w:val="hu-HU"/>
              </w:rPr>
              <w:t>Elmélet:</w:t>
            </w:r>
          </w:p>
          <w:p>
            <w:pPr>
              <w:pStyle w:val="Normal"/>
              <w:spacing w:lineRule="auto" w:line="216"/>
              <w:ind w:left="37" w:hanging="0"/>
              <w:jc w:val="both"/>
              <w:rPr/>
            </w:pPr>
            <w:r>
              <w:rPr>
                <w:lang w:val="hu-HU"/>
              </w:rPr>
              <w:t>Definíciók: kommunikáció-közélet-média-társadalom. A társadalom rétegződése és a kommunikációs eszközök. A társadalmi élet szférái, melyekben a közéleti események zajlanak. A nyilvánosság mint tükör – társadalmi-politikai közélet. Demokrácia és közélet. Kommunikáció és nyilvánosság különböző politikai rendszerekben a történelem folyamán. Közösség vagy tömeg – propaganda vagy kampány.</w:t>
            </w:r>
          </w:p>
          <w:p>
            <w:pPr>
              <w:pStyle w:val="Normal"/>
              <w:spacing w:lineRule="auto" w:line="216"/>
              <w:jc w:val="both"/>
              <w:rPr/>
            </w:pPr>
            <w:r>
              <w:rPr>
                <w:i/>
                <w:sz w:val="22"/>
                <w:szCs w:val="22"/>
                <w:lang w:val="hu-HU"/>
              </w:rPr>
              <w:t>Gyakorlat:</w:t>
            </w:r>
          </w:p>
          <w:p>
            <w:pPr>
              <w:pStyle w:val="Normal"/>
              <w:spacing w:before="0" w:after="40"/>
              <w:ind w:left="60" w:hanging="0"/>
              <w:jc w:val="both"/>
              <w:rPr/>
            </w:pPr>
            <w:r>
              <w:rPr>
                <w:iCs/>
                <w:sz w:val="22"/>
                <w:szCs w:val="22"/>
                <w:lang w:val="hu-HU"/>
              </w:rPr>
              <w:t>A közélet elemzése, a kommunikáció eszközei és módja különböző társadalmi-politikai rendszerekben.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rPr/>
            </w:pPr>
            <w:r>
              <w:rPr>
                <w:b/>
                <w:lang w:val="hu-HU"/>
              </w:rPr>
              <w:t>Szakirodalom</w:t>
            </w:r>
            <w:r>
              <w:rPr>
                <w:b/>
              </w:rPr>
              <w:t>:</w:t>
            </w:r>
          </w:p>
          <w:p>
            <w:pPr>
              <w:pStyle w:val="Normal"/>
              <w:jc w:val="both"/>
              <w:rPr/>
            </w:pPr>
            <w:r>
              <w:rPr>
                <w:i/>
                <w:lang w:val="hu-HU"/>
              </w:rPr>
              <w:t>Kötelező</w:t>
            </w:r>
            <w:r>
              <w:rPr>
                <w:i/>
              </w:rPr>
              <w:t>:</w:t>
            </w:r>
          </w:p>
          <w:p>
            <w:pPr>
              <w:pStyle w:val="Normal"/>
              <w:rPr/>
            </w:pPr>
            <w:r>
              <w:rPr/>
              <w:t>HABERMAS, Jürgen: A társadalomtudományok logikája, Budapest: Atlantisz, 1994.</w:t>
            </w:r>
          </w:p>
          <w:p>
            <w:pPr>
              <w:pStyle w:val="Normal"/>
              <w:rPr/>
            </w:pPr>
            <w:r>
              <w:rPr/>
              <w:t>Media and communication, Morristown: Silver Burdett Ginn, 1995.</w:t>
            </w:r>
          </w:p>
          <w:p>
            <w:pPr>
              <w:pStyle w:val="Normal"/>
              <w:jc w:val="both"/>
              <w:rPr/>
            </w:pPr>
            <w:r>
              <w:rPr>
                <w:i/>
                <w:lang w:val="hu-HU"/>
              </w:rPr>
              <w:t>Ajánlott</w:t>
            </w:r>
            <w:r>
              <w:rPr>
                <w:i/>
              </w:rPr>
              <w:t>:</w:t>
            </w:r>
          </w:p>
          <w:p>
            <w:pPr>
              <w:pStyle w:val="Normal"/>
              <w:rPr/>
            </w:pPr>
            <w:r>
              <w:rPr/>
              <w:t xml:space="preserve">Аrendt, Hannah: A totalitarizmus gyökerei. Budapest: Európa, </w:t>
            </w:r>
            <w:hyperlink r:id="rId2" w:tgtFrame="1992">
              <w:r>
                <w:rPr>
                  <w:rStyle w:val="InternetLink"/>
                  <w:color w:val="auto"/>
                  <w:u w:val="none"/>
                </w:rPr>
                <w:t>1992</w:t>
              </w:r>
            </w:hyperlink>
            <w:r>
              <w:rPr/>
              <w:t>.</w:t>
            </w:r>
          </w:p>
          <w:p>
            <w:pPr>
              <w:pStyle w:val="Normal"/>
              <w:rPr/>
            </w:pPr>
            <w:r>
              <w:rPr/>
              <w:t xml:space="preserve">HABERMAS, Jürgen: A társadalmi nyilvánosság szerkezetváltozása. Budapest: Osiris, </w:t>
            </w:r>
            <w:hyperlink r:id="rId3" w:tgtFrame="1999">
              <w:r>
                <w:rPr>
                  <w:rStyle w:val="InternetLink"/>
                  <w:color w:val="auto"/>
                  <w:u w:val="none"/>
                </w:rPr>
                <w:t>1999</w:t>
              </w:r>
            </w:hyperlink>
            <w:r>
              <w:rPr/>
              <w:t>.</w:t>
            </w:r>
          </w:p>
          <w:p>
            <w:pPr>
              <w:pStyle w:val="Normal"/>
              <w:rPr>
                <w:i/>
                <w:i/>
              </w:rPr>
            </w:pPr>
            <w:r>
              <w:rPr/>
              <w:t>LUHMANN, Niklas: Social Systems, Stanford: Stanford University Press, 1995.</w:t>
            </w:r>
            <w:bookmarkStart w:id="0" w:name="_GoBack"/>
            <w:bookmarkEnd w:id="0"/>
          </w:p>
        </w:tc>
      </w:tr>
      <w:tr>
        <w:trPr>
          <w:trHeight w:val="227" w:hRule="atLeast"/>
        </w:trPr>
        <w:tc>
          <w:tcPr>
            <w:tcW w:w="7242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/>
            </w:pPr>
            <w:r>
              <w:rPr>
                <w:b/>
                <w:sz w:val="22"/>
                <w:szCs w:val="22"/>
                <w:lang w:val="hu-HU"/>
              </w:rPr>
              <w:t>Aktív tanítási órák száma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hu-HU"/>
              </w:rPr>
              <w:t>További órák</w:t>
            </w:r>
          </w:p>
        </w:tc>
      </w:tr>
      <w:tr>
        <w:trPr>
          <w:trHeight w:val="284" w:hRule="atLeast"/>
        </w:trPr>
        <w:tc>
          <w:tcPr>
            <w:tcW w:w="12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57" w:right="-57" w:hanging="0"/>
              <w:jc w:val="center"/>
              <w:rPr/>
            </w:pPr>
            <w:r>
              <w:rPr>
                <w:sz w:val="22"/>
                <w:szCs w:val="22"/>
                <w:lang w:val="hu-HU"/>
              </w:rPr>
              <w:t>A tanítás egyéb formái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57" w:right="-57" w:hanging="0"/>
              <w:jc w:val="center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Kutatómunka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12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 (0)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/>
            </w:pPr>
            <w:r>
              <w:rPr>
                <w:b/>
                <w:sz w:val="22"/>
                <w:szCs w:val="22"/>
                <w:lang w:val="hu-HU"/>
              </w:rPr>
              <w:t>A tanítás során alkalmazott módszerek</w:t>
            </w:r>
            <w:r>
              <w:rPr>
                <w:b/>
                <w:sz w:val="22"/>
                <w:szCs w:val="22"/>
              </w:rPr>
              <w:t>:</w:t>
            </w:r>
          </w:p>
          <w:p>
            <w:pPr>
              <w:pStyle w:val="Normal"/>
              <w:spacing w:before="0" w:after="40"/>
              <w:rPr/>
            </w:pPr>
            <w:r>
              <w:rPr>
                <w:lang w:val="hu-HU"/>
              </w:rPr>
              <w:t>Előadás, önálló munka, vita és konzultációk</w:t>
            </w:r>
            <w:r>
              <w:rPr>
                <w:sz w:val="22"/>
                <w:szCs w:val="22"/>
              </w:rPr>
              <w:t>.</w:t>
            </w:r>
          </w:p>
        </w:tc>
      </w:tr>
      <w:tr>
        <w:trPr/>
        <w:tc>
          <w:tcPr>
            <w:tcW w:w="9072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jc w:val="center"/>
              <w:rPr/>
            </w:pPr>
            <w:r>
              <w:rPr>
                <w:b/>
                <w:sz w:val="22"/>
                <w:szCs w:val="22"/>
                <w:lang w:val="hu-HU"/>
              </w:rPr>
              <w:t>A tudás osztályozása</w:t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max. pontszám</w:t>
            </w:r>
            <w:r>
              <w:rPr>
                <w:b/>
                <w:sz w:val="22"/>
                <w:szCs w:val="22"/>
              </w:rPr>
              <w:t xml:space="preserve"> 100)</w:t>
            </w:r>
          </w:p>
        </w:tc>
      </w:tr>
      <w:tr>
        <w:trPr>
          <w:trHeight w:val="284" w:hRule="atLeast"/>
        </w:trPr>
        <w:tc>
          <w:tcPr>
            <w:tcW w:w="343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  <w:lang w:val="hu-HU"/>
              </w:rPr>
              <w:t>Vizsga előtti kötelezettségek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/>
            </w:pPr>
            <w:r>
              <w:rPr>
                <w:b/>
                <w:sz w:val="20"/>
                <w:szCs w:val="20"/>
                <w:lang w:val="hu-HU"/>
              </w:rPr>
              <w:t>Pontszám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/>
                <w:sz w:val="22"/>
                <w:szCs w:val="22"/>
                <w:lang w:val="hu-HU"/>
              </w:rPr>
              <w:t>Záróvizsga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/>
            </w:pPr>
            <w:r>
              <w:rPr>
                <w:b/>
                <w:sz w:val="20"/>
                <w:szCs w:val="20"/>
                <w:lang w:val="hu-HU"/>
              </w:rPr>
              <w:t>Pontszám</w:t>
            </w:r>
            <w:r>
              <w:rPr>
                <w:b/>
                <w:sz w:val="20"/>
                <w:szCs w:val="20"/>
              </w:rPr>
              <w:t>:</w:t>
            </w:r>
          </w:p>
        </w:tc>
      </w:tr>
      <w:tr>
        <w:trPr>
          <w:trHeight w:val="284" w:hRule="atLeast"/>
        </w:trPr>
        <w:tc>
          <w:tcPr>
            <w:tcW w:w="343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hu-HU"/>
              </w:rPr>
              <w:t>Aktivitás az előadásokon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</w:tc>
      </w:tr>
      <w:tr>
        <w:trPr>
          <w:trHeight w:val="284" w:hRule="atLeast"/>
        </w:trPr>
        <w:tc>
          <w:tcPr>
            <w:tcW w:w="3431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hu-HU"/>
              </w:rPr>
              <w:t>Gyakorlati oktatás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8" w:right="1418" w:header="0" w:top="1418" w:footer="0" w:bottom="113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1e0267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uiPriority w:val="99"/>
    <w:unhideWhenUsed/>
    <w:rsid w:val="00f221dc"/>
    <w:rPr>
      <w:color w:val="0000FF"/>
      <w:u w:val="single"/>
    </w:rPr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eastAsia="Times New Roman" w:cs="Times New Roman"/>
      <w:b w:val="false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sz w:val="22"/>
    </w:rPr>
  </w:style>
  <w:style w:type="character" w:styleId="ListLabel10">
    <w:name w:val="ListLabel 10"/>
    <w:qFormat/>
    <w:rPr>
      <w:sz w:val="22"/>
    </w:rPr>
  </w:style>
  <w:style w:type="character" w:styleId="ListLabel11">
    <w:name w:val="ListLabel 11"/>
    <w:qFormat/>
    <w:rPr>
      <w:sz w:val="22"/>
    </w:rPr>
  </w:style>
  <w:style w:type="character" w:styleId="ListLabel12">
    <w:name w:val="ListLabel 12"/>
    <w:qFormat/>
    <w:rPr>
      <w:rFonts w:eastAsia="Times New Roman" w:cs="Arial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sz w:val="20"/>
    </w:rPr>
  </w:style>
  <w:style w:type="character" w:styleId="ListLabel27">
    <w:name w:val="ListLabel 27"/>
    <w:qFormat/>
    <w:rPr>
      <w:sz w:val="20"/>
    </w:rPr>
  </w:style>
  <w:style w:type="character" w:styleId="ListLabel28">
    <w:name w:val="ListLabel 28"/>
    <w:qFormat/>
    <w:rPr>
      <w:sz w:val="20"/>
    </w:rPr>
  </w:style>
  <w:style w:type="character" w:styleId="ListLabel29">
    <w:name w:val="ListLabel 29"/>
    <w:qFormat/>
    <w:rPr>
      <w:sz w:val="20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color w:val="auto"/>
      <w:u w:val="non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d30e30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hu.wikipedia.org/wiki/1992" TargetMode="External"/><Relationship Id="rId3" Type="http://schemas.openxmlformats.org/officeDocument/2006/relationships/hyperlink" Target="https://hu.wikipedia.org/wiki/1999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LibreOffice/6.2.5.2$Windows_X86_64 LibreOffice_project/1ec314fa52f458adc18c4f025c545a4e8b22c159</Application>
  <Pages>1</Pages>
  <Words>254</Words>
  <Characters>1893</Characters>
  <CharactersWithSpaces>2102</CharactersWithSpaces>
  <Paragraphs>49</Paragraphs>
  <Company>UČITELJSKI FAKULTET U SUBOTICI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2019-07-09T07:44:00Z</dcterms:created>
  <dc:creator>Prof. dr. sc. JOSIP IVANOVIĆ</dc:creator>
  <dc:description/>
  <dc:language>en-GB</dc:language>
  <cp:lastModifiedBy/>
  <cp:lastPrinted>2007-03-03T16:29:00Z</cp:lastPrinted>
  <dcterms:modified xsi:type="dcterms:W3CDTF">2019-09-03T18:39:40Z</dcterms:modified>
  <cp:revision>6</cp:revision>
  <dc:subject/>
  <dc:title>Tab_5_2_K-3-2-6-1 - ИСТОРИЈА КОМУНИКАЦИЈЕ У ЈАВНОМ ЖИВОТУ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UČITELJSKI FAKULTET U SUBOTICI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